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E916D" w14:textId="77777777" w:rsidR="00DD0197" w:rsidRDefault="00DD01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378DB0FB" w14:textId="77777777" w:rsidR="00DD0197" w:rsidRDefault="00736A8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pict w14:anchorId="111413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alt="" style="width:460.9pt;height:38.9pt;visibility:visible;mso-width-percent:0;mso-height-percent:0;mso-width-percent:0;mso-height-percent:0">
            <v:imagedata r:id="rId6" o:title=""/>
          </v:shape>
        </w:pict>
      </w:r>
    </w:p>
    <w:p w14:paraId="51CB515E" w14:textId="77777777" w:rsidR="00DD0197" w:rsidRDefault="00DD019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7"/>
        <w:gridCol w:w="267"/>
        <w:gridCol w:w="852"/>
        <w:gridCol w:w="4386"/>
        <w:gridCol w:w="575"/>
        <w:gridCol w:w="1589"/>
      </w:tblGrid>
      <w:tr w:rsidR="00DD0197" w14:paraId="48160B31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7FFD6839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3794542F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506E641E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3603B2F5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46F53599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DD0197" w14:paraId="703B5D36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10B84420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081A33A1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DD0197" w14:paraId="3637205D" w14:textId="77777777">
        <w:trPr>
          <w:trHeight w:val="4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3073C386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6420BC87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4603063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6ED6082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6B9C306B" w14:textId="77777777" w:rsidR="00DD0197" w:rsidRDefault="00DD0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1FA66DD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GENÉTICA II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5E491F00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DD0197" w14:paraId="75D4E591" w14:textId="77777777">
        <w:trPr>
          <w:trHeight w:val="423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7BE14FB2" w14:textId="77777777" w:rsidR="00DD0197" w:rsidRDefault="00DD0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BB5D8C" w14:textId="77777777" w:rsidR="00DD0197" w:rsidRDefault="00DD0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68007D54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DD0197" w14:paraId="7357429F" w14:textId="77777777">
        <w:trPr>
          <w:trHeight w:val="230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0377D4A8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2725D094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BF834C" w14:textId="77777777" w:rsidR="00DD0197" w:rsidRDefault="00DD0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7E1CEA06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364AEC47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DD0197" w14:paraId="6659AF0C" w14:textId="77777777">
        <w:trPr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75A3BE00" w14:textId="77777777" w:rsidR="00DD0197" w:rsidRDefault="00DD0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BD0A1A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603943E9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FEF31E4" w14:textId="77777777" w:rsidR="00DD0197" w:rsidRDefault="00DD0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0000"/>
              </w:rPr>
            </w:pPr>
          </w:p>
        </w:tc>
      </w:tr>
      <w:tr w:rsidR="00DD0197" w14:paraId="5929E589" w14:textId="77777777">
        <w:trPr>
          <w:trHeight w:val="311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9D5A8B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44A751A6" w14:textId="77777777" w:rsidR="00DD01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F42E43" w14:textId="77777777" w:rsidR="00DD0197" w:rsidRDefault="00DD0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6F9F9BD3" w14:textId="77777777" w:rsidR="00DD0197" w:rsidRDefault="00DD0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DD0197" w14:paraId="393812F6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757AA96" w14:textId="77777777" w:rsidR="00DD0197" w:rsidRDefault="00DD0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D0197" w14:paraId="23D8E730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373C325F" w14:textId="77777777" w:rsidR="00DD0197" w:rsidRDefault="00DD0197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B653989" w14:textId="77777777" w:rsidR="00DD0197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155CFA24" w14:textId="77777777" w:rsidR="00DD0197" w:rsidRDefault="00DD0197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2AF4E17D" w14:textId="77777777" w:rsidR="00DD0197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0F7B4AE9" w14:textId="77777777" w:rsidR="00DD0197" w:rsidRDefault="00DD0197">
            <w:pPr>
              <w:jc w:val="both"/>
              <w:rPr>
                <w:rFonts w:ascii="Arial" w:eastAsia="Arial" w:hAnsi="Arial" w:cs="Arial"/>
              </w:rPr>
            </w:pPr>
          </w:p>
          <w:p w14:paraId="07F57F99" w14:textId="77777777" w:rsidR="00DD019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 </w:t>
            </w:r>
          </w:p>
          <w:p w14:paraId="702CD7D6" w14:textId="77777777" w:rsidR="00DD0197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Comprender la información de diversos temas relacionados con la genética y la biología molecular para poder analizar problemas de relevancia para la sociedad en el campo de la genética.</w:t>
            </w:r>
          </w:p>
          <w:p w14:paraId="036122FC" w14:textId="77777777" w:rsidR="00DD0197" w:rsidRDefault="00DD0197">
            <w:pPr>
              <w:jc w:val="both"/>
              <w:rPr>
                <w:rFonts w:ascii="Arial" w:eastAsia="Arial" w:hAnsi="Arial" w:cs="Arial"/>
              </w:rPr>
            </w:pPr>
          </w:p>
          <w:p w14:paraId="4087C2F0" w14:textId="77777777" w:rsidR="00DD0197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334E3D2A" w14:textId="77777777" w:rsidR="00DD0197" w:rsidRDefault="00DD0197">
            <w:pPr>
              <w:jc w:val="both"/>
              <w:rPr>
                <w:rFonts w:ascii="Arial" w:eastAsia="Arial" w:hAnsi="Arial" w:cs="Arial"/>
              </w:rPr>
            </w:pPr>
          </w:p>
          <w:p w14:paraId="5B8D5524" w14:textId="77777777" w:rsidR="00DD019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58081A99" w14:textId="77777777" w:rsidR="00DD0197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Integrar los conocimientos de genética y biología molecular en temas de frontera. </w:t>
            </w:r>
          </w:p>
          <w:p w14:paraId="49F1353A" w14:textId="77777777" w:rsidR="00DD0197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Explicar las repercusiones de los cambios genéticos.</w:t>
            </w:r>
          </w:p>
          <w:p w14:paraId="4593BD26" w14:textId="77777777" w:rsidR="00DD0197" w:rsidRDefault="00DD0197">
            <w:pPr>
              <w:jc w:val="both"/>
              <w:rPr>
                <w:rFonts w:ascii="Arial" w:eastAsia="Arial" w:hAnsi="Arial" w:cs="Arial"/>
              </w:rPr>
            </w:pPr>
          </w:p>
          <w:p w14:paraId="4FCC34CB" w14:textId="77777777" w:rsidR="00DD0197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68122F5A" w14:textId="77777777" w:rsidR="00DD0197" w:rsidRDefault="00DD0197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CAF8735" w14:textId="77777777" w:rsidR="00DD0197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Introducción, bases y fundamentos de biología molecular y genética.</w:t>
            </w:r>
          </w:p>
          <w:p w14:paraId="14E2CB3B" w14:textId="77777777" w:rsidR="00DD0197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Genética del cáncer y otras enfermedades complejas.</w:t>
            </w:r>
          </w:p>
          <w:p w14:paraId="5B9B5B24" w14:textId="77777777" w:rsidR="00DD0197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Ejemplos actuales de pruebas genéticas y terapia génica (ganadería, agricultura, ambiental, médica, veterinaria, etc.).</w:t>
            </w:r>
          </w:p>
          <w:p w14:paraId="72046392" w14:textId="77777777" w:rsidR="00DD0197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Aplicaciones de células madre.</w:t>
            </w:r>
          </w:p>
          <w:p w14:paraId="2D6CBCAB" w14:textId="77777777" w:rsidR="00DD0197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Epigenómica.</w:t>
            </w:r>
          </w:p>
          <w:p w14:paraId="3F8EC3DD" w14:textId="77777777" w:rsidR="00DD0197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Introducción a los temas de consultoría genética.</w:t>
            </w:r>
          </w:p>
          <w:p w14:paraId="62FCC3A9" w14:textId="77777777" w:rsidR="00DD0197" w:rsidRDefault="00DD0197">
            <w:pPr>
              <w:ind w:left="720"/>
              <w:jc w:val="both"/>
              <w:rPr>
                <w:rFonts w:ascii="Arial" w:eastAsia="Arial" w:hAnsi="Arial" w:cs="Arial"/>
              </w:rPr>
            </w:pPr>
          </w:p>
          <w:p w14:paraId="15EB0416" w14:textId="77777777" w:rsidR="00DD0197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740883B9" w14:textId="77777777" w:rsidR="00DD0197" w:rsidRDefault="00DD0197">
            <w:pPr>
              <w:jc w:val="both"/>
              <w:rPr>
                <w:rFonts w:ascii="Arial" w:eastAsia="Arial" w:hAnsi="Arial" w:cs="Arial"/>
              </w:rPr>
            </w:pPr>
          </w:p>
          <w:p w14:paraId="05B25835" w14:textId="77777777" w:rsidR="00DD0197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25EE9071" w14:textId="77777777" w:rsidR="00DD0197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4C2818D1" w14:textId="77777777" w:rsidR="00DD0197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</w:t>
            </w:r>
          </w:p>
          <w:p w14:paraId="394CD4A1" w14:textId="77777777" w:rsidR="00DD0197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de ponentes externos bajo la modalidad de seminarios.</w:t>
            </w:r>
          </w:p>
          <w:p w14:paraId="538601FF" w14:textId="77777777" w:rsidR="00DD0197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algunos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570787D9" w14:textId="77777777" w:rsidR="00DD0197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aprendizaje podrá ser reforzado con prácticas.</w:t>
            </w:r>
          </w:p>
          <w:p w14:paraId="56F38578" w14:textId="77777777" w:rsidR="00DD0197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Integración de conocimientos teóricos, técnicos y metodológicos adquiridos previamente.</w:t>
            </w:r>
          </w:p>
          <w:p w14:paraId="57542D2D" w14:textId="77777777" w:rsidR="00DD0197" w:rsidRDefault="00DD0197">
            <w:pPr>
              <w:ind w:left="360" w:right="284"/>
              <w:jc w:val="both"/>
              <w:rPr>
                <w:rFonts w:ascii="Arial" w:eastAsia="Arial" w:hAnsi="Arial" w:cs="Arial"/>
              </w:rPr>
            </w:pPr>
          </w:p>
          <w:p w14:paraId="5355F65B" w14:textId="77777777" w:rsidR="00DD019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seleccionar y asignar los temas, que serán desarrollados, presentados y discutidos por </w:t>
            </w:r>
            <w:r>
              <w:rPr>
                <w:rFonts w:ascii="Arial" w:eastAsia="Arial" w:hAnsi="Arial" w:cs="Arial"/>
                <w:color w:val="FF0000"/>
              </w:rPr>
              <w:t>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promoverá la investigación previa del tema a discutirse,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y además motivará el trabajo en equipo.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DD0197" w14:paraId="44E29359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329E604" w14:textId="77777777" w:rsidR="00DD0197" w:rsidRDefault="00DD0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96A0F88" w14:textId="77777777" w:rsidR="00DD0197" w:rsidRDefault="00DD0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DD0197" w14:paraId="342AC4F3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433B86FD" w14:textId="77777777" w:rsidR="00DD0197" w:rsidRDefault="00DD0197">
            <w:pPr>
              <w:rPr>
                <w:rFonts w:ascii="Arial" w:eastAsia="Arial" w:hAnsi="Arial" w:cs="Arial"/>
              </w:rPr>
            </w:pPr>
          </w:p>
          <w:p w14:paraId="5DB66097" w14:textId="77777777" w:rsidR="00DD0197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38A4620A" w14:textId="77777777" w:rsidR="00DD0197" w:rsidRDefault="00DD0197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1551E3AA" w14:textId="77777777" w:rsidR="00DD0197" w:rsidRDefault="00DD0197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0197B5EC" w14:textId="77777777" w:rsidR="00DD0197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DD0197" w14:paraId="53B54EE0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67D26A2E" w14:textId="77777777" w:rsidR="00DD0197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4603063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0E404C21" w14:textId="77777777" w:rsidR="00DD0197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GENÉTICA II</w:t>
            </w:r>
          </w:p>
        </w:tc>
      </w:tr>
      <w:tr w:rsidR="00DD0197" w14:paraId="6B4D8F38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D9FCCC0" w14:textId="77777777" w:rsidR="00DD0197" w:rsidRDefault="00DD0197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67ED8BD" w14:textId="77777777" w:rsidR="00DD0197" w:rsidRDefault="00DD0197">
            <w:pPr>
              <w:rPr>
                <w:rFonts w:ascii="Arial" w:eastAsia="Arial" w:hAnsi="Arial" w:cs="Arial"/>
                <w:b/>
              </w:rPr>
            </w:pPr>
          </w:p>
        </w:tc>
      </w:tr>
      <w:tr w:rsidR="00DD0197" w14:paraId="258F0A4B" w14:textId="77777777">
        <w:trPr>
          <w:trHeight w:val="6832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5C3BEE86" w14:textId="77777777" w:rsidR="002C0631" w:rsidRPr="00B341BA" w:rsidRDefault="002C0631" w:rsidP="002C0631">
            <w:pPr>
              <w:shd w:val="clear" w:color="auto" w:fill="FFFFFF"/>
              <w:jc w:val="both"/>
              <w:rPr>
                <w:color w:val="FF000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023A7096" w14:textId="77777777" w:rsidR="002C0631" w:rsidRDefault="002C0631" w:rsidP="002C0631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16FDDF2B" w14:textId="77777777" w:rsidR="002C0631" w:rsidRDefault="002C0631" w:rsidP="002C0631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197C38E7" w14:textId="77777777" w:rsidR="00DD0197" w:rsidRDefault="00DD0197">
            <w:pPr>
              <w:jc w:val="both"/>
              <w:rPr>
                <w:rFonts w:ascii="Arial" w:eastAsia="Arial" w:hAnsi="Arial" w:cs="Arial"/>
              </w:rPr>
            </w:pPr>
          </w:p>
          <w:p w14:paraId="4D9FBC93" w14:textId="77777777" w:rsidR="00DD0197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04123843" w14:textId="77777777" w:rsidR="00DD0197" w:rsidRDefault="00DD0197">
            <w:pPr>
              <w:jc w:val="both"/>
              <w:rPr>
                <w:rFonts w:ascii="Arial" w:eastAsia="Arial" w:hAnsi="Arial" w:cs="Arial"/>
              </w:rPr>
            </w:pPr>
          </w:p>
          <w:p w14:paraId="4A05022F" w14:textId="77777777" w:rsidR="00DD019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3D31A67B" w14:textId="77777777" w:rsidR="00DD0197" w:rsidRDefault="00DD0197">
            <w:pPr>
              <w:jc w:val="both"/>
              <w:rPr>
                <w:rFonts w:ascii="Arial" w:eastAsia="Arial" w:hAnsi="Arial" w:cs="Arial"/>
              </w:rPr>
            </w:pPr>
          </w:p>
          <w:p w14:paraId="34CC9B9E" w14:textId="77777777" w:rsidR="00DD0197" w:rsidRDefault="00000000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287ADB8F" w14:textId="77777777" w:rsidR="00DD0197" w:rsidRDefault="00DD0197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0C45CAA7" w14:textId="77777777" w:rsidR="00DD0197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6C7C2A01" w14:textId="77777777" w:rsidR="00DD0197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7264512F" w14:textId="77777777" w:rsidR="00DD0197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0D8B7CC7" w14:textId="77777777" w:rsidR="00DD0197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en las sesiones.</w:t>
            </w:r>
          </w:p>
          <w:p w14:paraId="3B3E85C8" w14:textId="77777777" w:rsidR="00DD0197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689F18EE" w14:textId="77777777" w:rsidR="00DD0197" w:rsidRDefault="00DD0197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A8C430B" w14:textId="77777777" w:rsidR="00DD019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31F4DC02" w14:textId="77777777" w:rsidR="00DD0197" w:rsidRDefault="00DD0197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19A8F87E" w14:textId="77777777" w:rsidR="00DD0197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0251C35B" w14:textId="77777777" w:rsidR="00DD0197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15C03BC6" w14:textId="77777777" w:rsidR="00DD0197" w:rsidRDefault="00DD0197">
            <w:pPr>
              <w:ind w:left="540"/>
              <w:jc w:val="both"/>
              <w:rPr>
                <w:rFonts w:ascii="Arial" w:eastAsia="Arial" w:hAnsi="Arial" w:cs="Arial"/>
              </w:rPr>
            </w:pPr>
          </w:p>
          <w:p w14:paraId="0AC1D9E0" w14:textId="77777777" w:rsidR="00DD0197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49D020AB" w14:textId="77777777" w:rsidR="00DD0197" w:rsidRDefault="00DD0197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0822619" w14:textId="77777777" w:rsidR="00DD0197" w:rsidRPr="002C0631" w:rsidRDefault="00000000">
            <w:pPr>
              <w:numPr>
                <w:ilvl w:val="0"/>
                <w:numId w:val="1"/>
              </w:numPr>
              <w:rPr>
                <w:rFonts w:ascii="Arial" w:eastAsia="Arial" w:hAnsi="Arial" w:cs="Arial"/>
                <w:lang w:val="en-US"/>
              </w:rPr>
            </w:pPr>
            <w:r w:rsidRPr="002C0631">
              <w:rPr>
                <w:rFonts w:ascii="Arial" w:eastAsia="Arial" w:hAnsi="Arial" w:cs="Arial"/>
                <w:lang w:val="en-US"/>
              </w:rPr>
              <w:t xml:space="preserve">Acquaah G. Principles of plant genetics and breeding. 2nd edition. Wiley-Blackwell, 2012. ISBN: </w:t>
            </w:r>
            <w:r w:rsidRPr="002C0631">
              <w:rPr>
                <w:rFonts w:ascii="Arial" w:eastAsia="Arial" w:hAnsi="Arial" w:cs="Arial"/>
                <w:i/>
                <w:lang w:val="en-US"/>
              </w:rPr>
              <w:t xml:space="preserve"> </w:t>
            </w:r>
            <w:r w:rsidRPr="002C0631">
              <w:rPr>
                <w:rFonts w:ascii="Arial" w:eastAsia="Arial" w:hAnsi="Arial" w:cs="Arial"/>
                <w:lang w:val="en-US"/>
              </w:rPr>
              <w:t>0470664754.</w:t>
            </w:r>
          </w:p>
          <w:p w14:paraId="2BFC6F17" w14:textId="77777777" w:rsidR="00DD0197" w:rsidRPr="002C0631" w:rsidRDefault="00000000">
            <w:pPr>
              <w:numPr>
                <w:ilvl w:val="0"/>
                <w:numId w:val="1"/>
              </w:numPr>
              <w:rPr>
                <w:rFonts w:ascii="Arial" w:eastAsia="Arial" w:hAnsi="Arial" w:cs="Arial"/>
                <w:lang w:val="en-US"/>
              </w:rPr>
            </w:pPr>
            <w:r w:rsidRPr="002C0631">
              <w:rPr>
                <w:rFonts w:ascii="Arial" w:eastAsia="Arial" w:hAnsi="Arial" w:cs="Arial"/>
                <w:lang w:val="en-US"/>
              </w:rPr>
              <w:t xml:space="preserve">Clark, D. P. and </w:t>
            </w:r>
            <w:proofErr w:type="spellStart"/>
            <w:r w:rsidRPr="002C0631">
              <w:rPr>
                <w:rFonts w:ascii="Arial" w:eastAsia="Arial" w:hAnsi="Arial" w:cs="Arial"/>
                <w:lang w:val="en-US"/>
              </w:rPr>
              <w:t>Pazdernik</w:t>
            </w:r>
            <w:proofErr w:type="spellEnd"/>
            <w:r w:rsidRPr="002C0631">
              <w:rPr>
                <w:rFonts w:ascii="Arial" w:eastAsia="Arial" w:hAnsi="Arial" w:cs="Arial"/>
                <w:lang w:val="en-US"/>
              </w:rPr>
              <w:t>, N. J. Human genetics and genomics. 4th edition. Wiley-Blackwell, 2013. ISBN: 0470654473.</w:t>
            </w:r>
          </w:p>
          <w:p w14:paraId="0E3E8F50" w14:textId="77777777" w:rsidR="00DD0197" w:rsidRDefault="00000000">
            <w:pPr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 w:rsidRPr="002C0631">
              <w:rPr>
                <w:rFonts w:ascii="Arial" w:eastAsia="Arial" w:hAnsi="Arial" w:cs="Arial"/>
                <w:lang w:val="en-US"/>
              </w:rPr>
              <w:t xml:space="preserve">Uhlmann, W. R. </w:t>
            </w:r>
            <w:r w:rsidRPr="002C0631">
              <w:rPr>
                <w:rFonts w:ascii="Arial" w:eastAsia="Arial" w:hAnsi="Arial" w:cs="Arial"/>
                <w:i/>
                <w:lang w:val="en-US"/>
              </w:rPr>
              <w:t>et al</w:t>
            </w:r>
            <w:r w:rsidRPr="002C0631">
              <w:rPr>
                <w:rFonts w:ascii="Arial" w:eastAsia="Arial" w:hAnsi="Arial" w:cs="Arial"/>
                <w:lang w:val="en-US"/>
              </w:rPr>
              <w:t xml:space="preserve">. A guide to genetic counseling. </w:t>
            </w:r>
            <w:r>
              <w:rPr>
                <w:rFonts w:ascii="Arial" w:eastAsia="Arial" w:hAnsi="Arial" w:cs="Arial"/>
              </w:rPr>
              <w:t xml:space="preserve">Cambridge John Wiley &amp; Sons, 2011. </w:t>
            </w:r>
          </w:p>
          <w:p w14:paraId="110CAE42" w14:textId="77777777" w:rsidR="00DD0197" w:rsidRPr="002C0631" w:rsidRDefault="00000000">
            <w:pPr>
              <w:numPr>
                <w:ilvl w:val="0"/>
                <w:numId w:val="1"/>
              </w:numPr>
              <w:rPr>
                <w:rFonts w:ascii="Arial" w:eastAsia="Arial" w:hAnsi="Arial" w:cs="Arial"/>
                <w:lang w:val="en-US"/>
              </w:rPr>
            </w:pPr>
            <w:r w:rsidRPr="002C0631">
              <w:rPr>
                <w:rFonts w:ascii="Arial" w:eastAsia="Arial" w:hAnsi="Arial" w:cs="Arial"/>
                <w:lang w:val="en-US"/>
              </w:rPr>
              <w:t>Strachan, T. and Read, A. Human molecular genetics. 4th edition. Garland Science, 2010. ISBN: 0815341490.</w:t>
            </w:r>
          </w:p>
          <w:p w14:paraId="2E85C450" w14:textId="77777777" w:rsidR="00DD0197" w:rsidRDefault="00000000">
            <w:pPr>
              <w:pStyle w:val="Ttulo3"/>
              <w:numPr>
                <w:ilvl w:val="0"/>
                <w:numId w:val="1"/>
              </w:num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Artículos de investigación </w:t>
            </w:r>
            <w:r>
              <w:rPr>
                <w:b w:val="0"/>
                <w:color w:val="FF0000"/>
                <w:sz w:val="20"/>
              </w:rPr>
              <w:t>o</w:t>
            </w:r>
            <w:r>
              <w:rPr>
                <w:b w:val="0"/>
                <w:sz w:val="20"/>
              </w:rPr>
              <w:t xml:space="preserve"> de divulgación científica que el </w:t>
            </w:r>
            <w:r>
              <w:rPr>
                <w:b w:val="0"/>
                <w:color w:val="FF0000"/>
                <w:sz w:val="20"/>
              </w:rPr>
              <w:t>personal académico</w:t>
            </w:r>
            <w:r>
              <w:rPr>
                <w:b w:val="0"/>
                <w:sz w:val="20"/>
              </w:rPr>
              <w:t xml:space="preserve"> considere pertinentes.</w:t>
            </w:r>
          </w:p>
          <w:p w14:paraId="5CC8FC97" w14:textId="77777777" w:rsidR="00DD0197" w:rsidRDefault="00DD0197"/>
        </w:tc>
      </w:tr>
    </w:tbl>
    <w:p w14:paraId="7B8AA620" w14:textId="77777777" w:rsidR="00DD0197" w:rsidRDefault="00DD0197">
      <w:pPr>
        <w:rPr>
          <w:rFonts w:ascii="Arial" w:eastAsia="Arial" w:hAnsi="Arial" w:cs="Arial"/>
        </w:rPr>
      </w:pPr>
    </w:p>
    <w:sectPr w:rsidR="00DD0197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C55F7"/>
    <w:multiLevelType w:val="multilevel"/>
    <w:tmpl w:val="7AACA6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031378"/>
    <w:multiLevelType w:val="multilevel"/>
    <w:tmpl w:val="2E9EEA4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4A45360"/>
    <w:multiLevelType w:val="multilevel"/>
    <w:tmpl w:val="7DFCD3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492946"/>
    <w:multiLevelType w:val="multilevel"/>
    <w:tmpl w:val="485A154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3CD590E"/>
    <w:multiLevelType w:val="multilevel"/>
    <w:tmpl w:val="5ACA614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7303FD5"/>
    <w:multiLevelType w:val="multilevel"/>
    <w:tmpl w:val="18A851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672174061">
    <w:abstractNumId w:val="0"/>
  </w:num>
  <w:num w:numId="2" w16cid:durableId="1337925827">
    <w:abstractNumId w:val="5"/>
  </w:num>
  <w:num w:numId="3" w16cid:durableId="97679887">
    <w:abstractNumId w:val="2"/>
  </w:num>
  <w:num w:numId="4" w16cid:durableId="673263440">
    <w:abstractNumId w:val="1"/>
  </w:num>
  <w:num w:numId="5" w16cid:durableId="189612650">
    <w:abstractNumId w:val="4"/>
  </w:num>
  <w:num w:numId="6" w16cid:durableId="1033771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197"/>
    <w:rsid w:val="002C0631"/>
    <w:rsid w:val="00736A8B"/>
    <w:rsid w:val="00DD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ED531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link w:val="Estilo2Car"/>
    <w:rsid w:val="00942E3F"/>
    <w:pPr>
      <w:spacing w:before="120"/>
      <w:jc w:val="center"/>
    </w:pPr>
    <w:rPr>
      <w:rFonts w:ascii="Arial" w:hAnsi="Arial"/>
      <w:b/>
      <w:sz w:val="24"/>
      <w:szCs w:val="24"/>
      <w:lang w:val="x-none"/>
    </w:rPr>
  </w:style>
  <w:style w:type="paragraph" w:customStyle="1" w:styleId="Estilo5">
    <w:name w:val="Estilo5"/>
    <w:basedOn w:val="Estilo2"/>
    <w:autoRedefine/>
    <w:rsid w:val="00942E3F"/>
    <w:pPr>
      <w:spacing w:after="120"/>
      <w:ind w:left="425"/>
      <w:jc w:val="left"/>
    </w:pPr>
    <w:rPr>
      <w:b w:val="0"/>
    </w:rPr>
  </w:style>
  <w:style w:type="paragraph" w:customStyle="1" w:styleId="Estilo1">
    <w:name w:val="Estilo1"/>
    <w:basedOn w:val="Normal"/>
    <w:link w:val="Estilo1Car"/>
    <w:autoRedefine/>
    <w:rsid w:val="00F37774"/>
    <w:pPr>
      <w:spacing w:after="120"/>
      <w:jc w:val="both"/>
    </w:pPr>
    <w:rPr>
      <w:rFonts w:ascii="Arial" w:hAnsi="Arial"/>
      <w:b/>
      <w:caps/>
      <w:lang w:val="x-none"/>
    </w:rPr>
  </w:style>
  <w:style w:type="character" w:customStyle="1" w:styleId="Estilo1Car">
    <w:name w:val="Estilo1 Car"/>
    <w:link w:val="Estilo1"/>
    <w:rsid w:val="00F37774"/>
    <w:rPr>
      <w:rFonts w:ascii="Arial" w:hAnsi="Arial"/>
      <w:b/>
      <w:caps/>
      <w:lang w:eastAsia="es-ES"/>
    </w:rPr>
  </w:style>
  <w:style w:type="character" w:customStyle="1" w:styleId="Estilo2Car">
    <w:name w:val="Estilo2 Car"/>
    <w:link w:val="Estilo2"/>
    <w:rsid w:val="00F37774"/>
    <w:rPr>
      <w:rFonts w:ascii="Arial" w:hAnsi="Arial"/>
      <w:b/>
      <w:sz w:val="24"/>
      <w:szCs w:val="24"/>
      <w:lang w:eastAsia="es-ES"/>
    </w:rPr>
  </w:style>
  <w:style w:type="character" w:styleId="Hipervnculo">
    <w:name w:val="Hyperlink"/>
    <w:uiPriority w:val="99"/>
    <w:unhideWhenUsed/>
    <w:rsid w:val="00F37774"/>
    <w:rPr>
      <w:color w:val="0000FF"/>
      <w:u w:val="single"/>
    </w:rPr>
  </w:style>
  <w:style w:type="paragraph" w:customStyle="1" w:styleId="Sinespaciado1">
    <w:name w:val="Sin espaciado1"/>
    <w:uiPriority w:val="1"/>
    <w:qFormat/>
    <w:rsid w:val="00F37774"/>
    <w:rPr>
      <w:lang w:eastAsia="es-ES"/>
    </w:rPr>
  </w:style>
  <w:style w:type="paragraph" w:customStyle="1" w:styleId="Cuadrculaclara-nfasis31">
    <w:name w:val="Cuadrícula clara - Énfasis 31"/>
    <w:basedOn w:val="Normal"/>
    <w:uiPriority w:val="72"/>
    <w:qFormat/>
    <w:rsid w:val="00F37774"/>
    <w:pPr>
      <w:ind w:left="708"/>
    </w:pPr>
  </w:style>
  <w:style w:type="character" w:customStyle="1" w:styleId="Ttulo3Car">
    <w:name w:val="Título 3 Car"/>
    <w:link w:val="Ttulo3"/>
    <w:rsid w:val="008375BC"/>
    <w:rPr>
      <w:rFonts w:ascii="Arial" w:hAnsi="Arial"/>
      <w:b/>
      <w:sz w:val="16"/>
      <w:lang w:eastAsia="es-ES"/>
    </w:rPr>
  </w:style>
  <w:style w:type="character" w:customStyle="1" w:styleId="st">
    <w:name w:val="st"/>
    <w:rsid w:val="0069035E"/>
  </w:style>
  <w:style w:type="character" w:styleId="nfasis">
    <w:name w:val="Emphasis"/>
    <w:uiPriority w:val="20"/>
    <w:qFormat/>
    <w:rsid w:val="0069035E"/>
    <w:rPr>
      <w:i/>
      <w:iCs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2C0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NpkQ0VLhXhkXOEnGYvWGy2bB7A==">AMUW2mVYfCVqvgJ28SMgWQwczAedoLP9zKY8+Jtxqi9eC6YhbT9jhQ6D+RNF4bAnejspIGRAgL68SSTXlOJ38O04+CbvuJeVonwLmHUl3j0n9Vff/+o8b459FiWxLRiQsrL1eQS3CnPKYHHVLzdpAKuyO4fHKQDkQQ==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2015-12-13T07:04:00Z</dcterms:created>
  <dcterms:modified xsi:type="dcterms:W3CDTF">2022-10-21T19:56:00Z</dcterms:modified>
</cp:coreProperties>
</file>